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5F30D5">
      <w:pPr>
        <w:adjustRightInd w:val="0"/>
        <w:snapToGrid w:val="0"/>
        <w:spacing w:line="580" w:lineRule="exact"/>
        <w:jc w:val="center"/>
        <w:rPr>
          <w:rFonts w:hint="default" w:ascii="Times New Roman" w:hAnsi="Times New Roman" w:eastAsia="方正小标宋_GBK" w:cs="Times New Roman"/>
          <w:snapToGrid w:val="0"/>
          <w:color w:val="auto"/>
          <w:kern w:val="0"/>
          <w:sz w:val="44"/>
          <w:szCs w:val="44"/>
          <w:u w:val="none"/>
          <w:shd w:val="clear" w:color="auto" w:fill="FFFFFF"/>
        </w:rPr>
      </w:pPr>
      <w:r>
        <w:rPr>
          <w:rFonts w:hint="default" w:ascii="Times New Roman" w:hAnsi="Times New Roman" w:eastAsia="方正小标宋_GBK" w:cs="Times New Roman"/>
          <w:snapToGrid w:val="0"/>
          <w:color w:val="auto"/>
          <w:kern w:val="0"/>
          <w:sz w:val="44"/>
          <w:szCs w:val="44"/>
          <w:u w:val="none"/>
          <w:shd w:val="clear" w:color="auto" w:fill="FFFFFF"/>
        </w:rPr>
        <w:t>关于支持精英文化人才高质量发展的</w:t>
      </w:r>
    </w:p>
    <w:p w14:paraId="46B68720">
      <w:pPr>
        <w:adjustRightInd w:val="0"/>
        <w:snapToGrid w:val="0"/>
        <w:spacing w:line="580" w:lineRule="exact"/>
        <w:jc w:val="center"/>
        <w:rPr>
          <w:rFonts w:hint="default" w:ascii="Times New Roman" w:hAnsi="Times New Roman" w:eastAsia="方正小标宋_GBK" w:cs="Times New Roman"/>
          <w:snapToGrid w:val="0"/>
          <w:color w:val="auto"/>
          <w:kern w:val="0"/>
          <w:sz w:val="44"/>
          <w:szCs w:val="44"/>
          <w:u w:val="none"/>
          <w:shd w:val="clear" w:color="auto" w:fill="FFFFFF"/>
        </w:rPr>
      </w:pPr>
      <w:r>
        <w:rPr>
          <w:rFonts w:hint="default" w:ascii="Times New Roman" w:hAnsi="Times New Roman" w:eastAsia="方正小标宋_GBK" w:cs="Times New Roman"/>
          <w:snapToGrid w:val="0"/>
          <w:color w:val="auto"/>
          <w:kern w:val="0"/>
          <w:sz w:val="44"/>
          <w:szCs w:val="44"/>
          <w:u w:val="none"/>
          <w:shd w:val="clear" w:color="auto" w:fill="FFFFFF"/>
        </w:rPr>
        <w:t>若干政策措施</w:t>
      </w:r>
    </w:p>
    <w:p w14:paraId="38FD06D4">
      <w:pPr>
        <w:adjustRightInd w:val="0"/>
        <w:snapToGrid w:val="0"/>
        <w:spacing w:line="580" w:lineRule="exact"/>
        <w:jc w:val="center"/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u w:val="none"/>
        </w:rPr>
        <w:t>（</w:t>
      </w:r>
      <w:r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u w:val="none"/>
          <w:lang w:val="en-US" w:eastAsia="zh-CN"/>
        </w:rPr>
        <w:t>征求意见稿</w:t>
      </w:r>
      <w:r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u w:val="none"/>
        </w:rPr>
        <w:t>）</w:t>
      </w:r>
    </w:p>
    <w:p w14:paraId="4E6B5FA7">
      <w:pPr>
        <w:adjustRightInd w:val="0"/>
        <w:snapToGrid w:val="0"/>
        <w:spacing w:line="580" w:lineRule="exact"/>
        <w:jc w:val="center"/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u w:val="none"/>
        </w:rPr>
      </w:pPr>
    </w:p>
    <w:p w14:paraId="108D7354">
      <w:pPr>
        <w:adjustRightInd w:val="0"/>
        <w:snapToGrid w:val="0"/>
        <w:spacing w:line="560" w:lineRule="exact"/>
        <w:ind w:firstLine="600" w:firstLineChars="200"/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  <w:t>为进一步加强文化人才队伍建</w:t>
      </w: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</w:rPr>
        <w:t>设，多渠</w:t>
      </w: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  <w:t>道培养引进一批高层次文化人才，激发文化人才创新创业和创作活力，进一步打响“苏作天工、根植吴中”文化品牌，持续推动文化人才队伍建设走在全省前列，造就一批善于传播吴中优秀文化、繁荣吴中文艺事业的文化使者，根据</w:t>
      </w: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</w:rPr>
        <w:t>《关于建设人才发展现代化强区 推动数字经济时代产业创新集群发展的意见》</w:t>
      </w: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  <w:t>精神，制定以下政策措施。</w:t>
      </w:r>
    </w:p>
    <w:p w14:paraId="553A7CC6">
      <w:pPr>
        <w:adjustRightInd w:val="0"/>
        <w:snapToGrid w:val="0"/>
        <w:spacing w:line="560" w:lineRule="exact"/>
        <w:ind w:firstLine="600" w:firstLineChars="200"/>
        <w:rPr>
          <w:rFonts w:hint="default" w:ascii="Times New Roman" w:hAnsi="Times New Roman" w:eastAsia="黑体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</w:pPr>
      <w:r>
        <w:rPr>
          <w:rFonts w:hint="default" w:ascii="Times New Roman" w:hAnsi="Times New Roman" w:eastAsia="黑体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  <w:t>一、支持对象</w:t>
      </w:r>
    </w:p>
    <w:p w14:paraId="79EDF64A">
      <w:pPr>
        <w:adjustRightInd w:val="0"/>
        <w:snapToGrid w:val="0"/>
        <w:spacing w:line="560" w:lineRule="exact"/>
        <w:ind w:firstLine="600" w:firstLineChars="200"/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  <w:t>从事文化艺术和文物保护、文化产业经营管理和其他新媒体、广播影视、文化新业态等领域工作，具有一定影响力或产业带动力的高层次文化人才（团队）。</w:t>
      </w:r>
    </w:p>
    <w:p w14:paraId="5BB98DB3">
      <w:pPr>
        <w:adjustRightInd w:val="0"/>
        <w:snapToGrid w:val="0"/>
        <w:spacing w:line="560" w:lineRule="exact"/>
        <w:ind w:firstLine="600" w:firstLineChars="200"/>
        <w:rPr>
          <w:rFonts w:hint="default" w:ascii="Times New Roman" w:hAnsi="Times New Roman" w:eastAsia="黑体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</w:pPr>
      <w:r>
        <w:rPr>
          <w:rFonts w:hint="default" w:ascii="Times New Roman" w:hAnsi="Times New Roman" w:eastAsia="黑体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  <w:t>二、支持举措</w:t>
      </w:r>
    </w:p>
    <w:p w14:paraId="5D8EF52B">
      <w:pPr>
        <w:widowControl/>
        <w:adjustRightInd w:val="0"/>
        <w:snapToGrid w:val="0"/>
        <w:spacing w:line="560" w:lineRule="exact"/>
        <w:ind w:firstLine="600" w:firstLineChars="200"/>
        <w:rPr>
          <w:rFonts w:hint="default" w:ascii="Times New Roman" w:hAnsi="Times New Roman" w:eastAsia="楷体" w:cs="Times New Roman"/>
          <w:bCs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</w:pPr>
      <w:r>
        <w:rPr>
          <w:rFonts w:hint="default" w:ascii="Times New Roman" w:hAnsi="Times New Roman" w:eastAsia="楷体" w:cs="Times New Roman"/>
          <w:bCs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  <w:t>（一）给予人才基础支持</w:t>
      </w:r>
    </w:p>
    <w:p w14:paraId="1D0072F1">
      <w:pPr>
        <w:autoSpaceDE w:val="0"/>
        <w:autoSpaceDN w:val="0"/>
        <w:adjustRightInd w:val="0"/>
        <w:snapToGrid w:val="0"/>
        <w:spacing w:line="560" w:lineRule="exact"/>
        <w:ind w:firstLine="600" w:firstLineChars="200"/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  <w:t>1.</w:t>
      </w: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  <w:t xml:space="preserve"> </w:t>
      </w: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  <w:t>实施东吴文化人才计划，鼓励申报培育类东吴文化人才和引进类东吴文化人才（团队）。对入选东吴文化人才（团队）的，给予培育类文化人才最高12万元奖励，给予引进类文化人才最高2</w:t>
      </w: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  <w:t>0万元（引进人才A类给予2</w:t>
      </w: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  <w:t>0万元、B类150万元、C类50万元）</w:t>
      </w: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  <w:lang w:val="en-US" w:eastAsia="zh-CN"/>
        </w:rPr>
        <w:t>购房</w:t>
      </w: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  <w:t>补贴，给予引进类文化创新创业团队最高300万元项目资助经费，团队带头人和核心成员如符合相关条件的，可申请</w:t>
      </w: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  <w:lang w:val="en-US" w:eastAsia="zh-CN"/>
        </w:rPr>
        <w:t>购房</w:t>
      </w: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  <w:t>补贴和奖励。</w:t>
      </w:r>
    </w:p>
    <w:p w14:paraId="7943AECE">
      <w:pPr>
        <w:widowControl/>
        <w:adjustRightInd w:val="0"/>
        <w:snapToGrid w:val="0"/>
        <w:spacing w:line="560" w:lineRule="exact"/>
        <w:ind w:firstLine="600" w:firstLineChars="200"/>
        <w:rPr>
          <w:rFonts w:hint="default" w:ascii="Times New Roman" w:hAnsi="Times New Roman" w:eastAsia="楷体_GB2312" w:cs="Times New Roman"/>
          <w:bCs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</w:pPr>
    </w:p>
    <w:p w14:paraId="6C574DC5">
      <w:pPr>
        <w:widowControl/>
        <w:adjustRightInd w:val="0"/>
        <w:snapToGrid w:val="0"/>
        <w:spacing w:line="560" w:lineRule="exact"/>
        <w:ind w:firstLine="600" w:firstLineChars="200"/>
        <w:rPr>
          <w:rFonts w:hint="default" w:ascii="Times New Roman" w:hAnsi="Times New Roman" w:eastAsia="楷体" w:cs="Times New Roman"/>
          <w:bCs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</w:pPr>
      <w:r>
        <w:rPr>
          <w:rFonts w:hint="default" w:ascii="Times New Roman" w:hAnsi="Times New Roman" w:eastAsia="楷体" w:cs="Times New Roman"/>
          <w:bCs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  <w:t>（二）给予专项项目扶持</w:t>
      </w:r>
    </w:p>
    <w:p w14:paraId="455DA382">
      <w:pPr>
        <w:adjustRightInd w:val="0"/>
        <w:snapToGrid w:val="0"/>
        <w:spacing w:line="560" w:lineRule="exact"/>
        <w:ind w:firstLine="600" w:firstLineChars="200"/>
        <w:rPr>
          <w:rFonts w:hint="default" w:ascii="Times New Roman" w:hAnsi="Times New Roman" w:eastAsia="仿宋_GB2312" w:cs="Times New Roman"/>
          <w:strike/>
          <w:dstrike w:val="0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  <w:t xml:space="preserve">2. </w:t>
      </w: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  <w:t>以专项项目形式支持文化人才创新创业和创作精品。区级及以上文化人才可申请项目扶持。</w:t>
      </w:r>
    </w:p>
    <w:p w14:paraId="1A8F969C">
      <w:pPr>
        <w:adjustRightInd w:val="0"/>
        <w:snapToGrid w:val="0"/>
        <w:spacing w:line="560" w:lineRule="exact"/>
        <w:ind w:firstLine="600" w:firstLineChars="200"/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  <w:t xml:space="preserve">3. </w:t>
      </w: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  <w:t>专项项目分为吴中区重大文化项目和特色文化项目。获评重大文化项目的，单个项目给予最高30万元项目资助，获评特色文化项目的，单个项目给予最高10万元项目资助。项目支持每两年集中申报一次，</w:t>
      </w: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  <w:t>主要支持展览交流、重要主题作品创作、重要演出、</w:t>
      </w: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  <w:t>出版专著（音像）、文化学术交流、专题研究等项目，已获项目资助的，须在项目验收合格后方可重新申报新项目。</w:t>
      </w:r>
    </w:p>
    <w:p w14:paraId="6800C02C">
      <w:pPr>
        <w:autoSpaceDE w:val="0"/>
        <w:autoSpaceDN w:val="0"/>
        <w:adjustRightInd w:val="0"/>
        <w:snapToGrid w:val="0"/>
        <w:spacing w:line="560" w:lineRule="exact"/>
        <w:ind w:firstLine="600" w:firstLineChars="200"/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  <w:t xml:space="preserve">4. </w:t>
      </w: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  <w:t>项目须经属地主管部门推荐参评，入选后项目负责人须签署东吴文化人才资助项目合同书，原则上项目必须在2年内完成。项目扶持经费实行分年度拨付，获评当年拨付50%，次年项目结项后再行拨付50%。确有特殊原因未能在约定时限完成的，经属地主管部门或区主管部门审核同意后，最多可</w:t>
      </w: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  <w:lang w:eastAsia="zh-CN"/>
        </w:rPr>
        <w:t>延期</w:t>
      </w: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  <w:t>一年结项；</w:t>
      </w: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  <w:lang w:eastAsia="zh-CN"/>
        </w:rPr>
        <w:t>延期</w:t>
      </w: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  <w:t>一年后未能结项的，不再拨付剩余经费。同一项目已获得同级财政资金资助的，不得跨部门重复申报。</w:t>
      </w:r>
    </w:p>
    <w:p w14:paraId="1CAE831D">
      <w:pPr>
        <w:widowControl/>
        <w:adjustRightInd w:val="0"/>
        <w:snapToGrid w:val="0"/>
        <w:spacing w:line="560" w:lineRule="exact"/>
        <w:ind w:firstLine="600" w:firstLineChars="200"/>
        <w:rPr>
          <w:rFonts w:hint="default" w:ascii="Times New Roman" w:hAnsi="Times New Roman" w:eastAsia="楷体" w:cs="Times New Roman"/>
          <w:bCs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</w:pPr>
      <w:r>
        <w:rPr>
          <w:rFonts w:hint="default" w:ascii="Times New Roman" w:hAnsi="Times New Roman" w:eastAsia="楷体" w:cs="Times New Roman"/>
          <w:bCs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  <w:t>（三）给予创新创业支持</w:t>
      </w:r>
    </w:p>
    <w:p w14:paraId="2771A29B">
      <w:pPr>
        <w:autoSpaceDE w:val="0"/>
        <w:autoSpaceDN w:val="0"/>
        <w:adjustRightInd w:val="0"/>
        <w:snapToGrid w:val="0"/>
        <w:spacing w:line="560" w:lineRule="exact"/>
        <w:ind w:firstLine="600" w:firstLineChars="200"/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highlight w:val="yellow"/>
          <w:u w:val="none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  <w:t xml:space="preserve">5. </w:t>
      </w: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  <w:t>东吴文化人才（团队）、姑苏宣传文化人才（团队）、江苏省双创人才（团队）、江苏省紫金文化人才、国家级重大人才工程入选者创办企业可纳入“东吴科技人才贷”支持范围，并给予</w:t>
      </w: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highlight w:val="none"/>
          <w:u w:val="none"/>
          <w:shd w:val="clear" w:color="auto" w:fill="FFFFFF"/>
        </w:rPr>
        <w:t>贴息支持。</w:t>
      </w:r>
    </w:p>
    <w:p w14:paraId="4DED715F">
      <w:pPr>
        <w:autoSpaceDE w:val="0"/>
        <w:autoSpaceDN w:val="0"/>
        <w:adjustRightInd w:val="0"/>
        <w:snapToGrid w:val="0"/>
        <w:spacing w:line="560" w:lineRule="exact"/>
        <w:ind w:firstLine="600" w:firstLineChars="200"/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  <w:t xml:space="preserve">6. </w:t>
      </w: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  <w:t>积极鼓励农、文、康、体、旅融合发展，在相关领域新增投资并有示范作用的项目，实际投资额达到500万元及以上的，经评审，按实际投资额的10%给予扶持，单个项目扶持资金不超过300万元。</w:t>
      </w:r>
    </w:p>
    <w:p w14:paraId="5C171AC5">
      <w:pPr>
        <w:autoSpaceDE w:val="0"/>
        <w:autoSpaceDN w:val="0"/>
        <w:adjustRightInd w:val="0"/>
        <w:snapToGrid w:val="0"/>
        <w:spacing w:line="560" w:lineRule="exact"/>
        <w:ind w:firstLine="600" w:firstLineChars="200"/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highlight w:val="green"/>
          <w:u w:val="none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  <w:t>对数字文化领域的新增投资项目，经区专题会议研究，可适当放宽扶持标准。产业分类以国家统计局最新发布为准。</w:t>
      </w:r>
    </w:p>
    <w:p w14:paraId="0818B726">
      <w:pPr>
        <w:autoSpaceDE w:val="0"/>
        <w:autoSpaceDN w:val="0"/>
        <w:adjustRightInd w:val="0"/>
        <w:snapToGrid w:val="0"/>
        <w:spacing w:line="560" w:lineRule="exact"/>
        <w:ind w:firstLine="600" w:firstLineChars="200"/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highlight w:val="green"/>
          <w:u w:val="none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  <w:t xml:space="preserve">7. </w:t>
      </w: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  <w:t>东吴文化人才领办的文化企业和平台载体，可按规定享受《关于促进吴中区文体旅高质量发展的若干政策措施》（吴政规字〔2025〕5号）的各项支持政策。</w:t>
      </w:r>
    </w:p>
    <w:p w14:paraId="1DFC8201">
      <w:pPr>
        <w:widowControl/>
        <w:adjustRightInd w:val="0"/>
        <w:snapToGrid w:val="0"/>
        <w:spacing w:line="560" w:lineRule="exact"/>
        <w:ind w:firstLine="600" w:firstLineChars="200"/>
        <w:rPr>
          <w:rFonts w:hint="default" w:ascii="Times New Roman" w:hAnsi="Times New Roman" w:eastAsia="楷体" w:cs="Times New Roman"/>
          <w:bCs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</w:pPr>
      <w:r>
        <w:rPr>
          <w:rFonts w:hint="default" w:ascii="Times New Roman" w:hAnsi="Times New Roman" w:eastAsia="楷体" w:cs="Times New Roman"/>
          <w:bCs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  <w:t>（四）给予升级培养激励</w:t>
      </w:r>
    </w:p>
    <w:p w14:paraId="3B92DFF1">
      <w:pPr>
        <w:autoSpaceDE w:val="0"/>
        <w:autoSpaceDN w:val="0"/>
        <w:adjustRightInd w:val="0"/>
        <w:snapToGrid w:val="0"/>
        <w:spacing w:line="560" w:lineRule="exact"/>
        <w:ind w:firstLine="600" w:firstLineChars="200"/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  <w:t>鼓励区级人才积极申报市级及以上人才计划、参与各类评奖评优，并给予一定的支持。</w:t>
      </w:r>
    </w:p>
    <w:p w14:paraId="398F7CC3">
      <w:pPr>
        <w:autoSpaceDE w:val="0"/>
        <w:autoSpaceDN w:val="0"/>
        <w:adjustRightInd w:val="0"/>
        <w:snapToGrid w:val="0"/>
        <w:spacing w:line="560" w:lineRule="exact"/>
        <w:ind w:firstLine="600" w:firstLineChars="200"/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  <w:t xml:space="preserve">8. </w:t>
      </w: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  <w:t>新入选国家级大师（中国工艺美术大师、国家级非物质文化遗产代表性传承人等）、新担任国家级各文艺家协会理事以上职务者，给予2万元奖励；新入选省级大师（含省工艺名人、省“双创人才”、省级非物质文化遗产代表性传承人、省“333”人才、省“五个一批”等）、新入选国家级各文艺家协会会员的，给予1万元奖励。</w:t>
      </w:r>
    </w:p>
    <w:p w14:paraId="3831AF2D">
      <w:pPr>
        <w:autoSpaceDE w:val="0"/>
        <w:autoSpaceDN w:val="0"/>
        <w:adjustRightInd w:val="0"/>
        <w:snapToGrid w:val="0"/>
        <w:spacing w:line="560" w:lineRule="exact"/>
        <w:ind w:firstLine="600" w:firstLineChars="200"/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  <w:t xml:space="preserve">9. </w:t>
      </w: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  <w:t>新获国家级、省级各艺术门类最高奖项且国家、省有奖励的再分别给予2万元、5千元奖励。</w:t>
      </w:r>
    </w:p>
    <w:p w14:paraId="7FB987D3">
      <w:pPr>
        <w:autoSpaceDE w:val="0"/>
        <w:autoSpaceDN w:val="0"/>
        <w:adjustRightInd w:val="0"/>
        <w:snapToGrid w:val="0"/>
        <w:spacing w:line="560" w:lineRule="exact"/>
        <w:ind w:firstLine="600" w:firstLineChars="200"/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  <w:t xml:space="preserve">10. </w:t>
      </w: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  <w:t>引进人才新</w:t>
      </w: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</w:rPr>
        <w:t>入选国家级重大人才工程、江苏省双创人才（团队）的，可直接</w:t>
      </w:r>
      <w:bookmarkStart w:id="0" w:name="_GoBack"/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</w:rPr>
        <w:t>认定为东吴文化人才并享受相关政</w:t>
      </w:r>
      <w:bookmarkEnd w:id="0"/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</w:rPr>
        <w:t>策支持</w:t>
      </w: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  <w:t>。入选苏州市姑苏宣传文化人才的，参照市级有关文件执行。</w:t>
      </w:r>
    </w:p>
    <w:p w14:paraId="580C31DB">
      <w:pPr>
        <w:autoSpaceDE w:val="0"/>
        <w:autoSpaceDN w:val="0"/>
        <w:adjustRightInd w:val="0"/>
        <w:snapToGrid w:val="0"/>
        <w:spacing w:line="560" w:lineRule="exact"/>
        <w:ind w:firstLine="600" w:firstLineChars="200"/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</w:pPr>
    </w:p>
    <w:p w14:paraId="31A52EE8">
      <w:pPr>
        <w:autoSpaceDE w:val="0"/>
        <w:autoSpaceDN w:val="0"/>
        <w:adjustRightInd w:val="0"/>
        <w:snapToGrid w:val="0"/>
        <w:spacing w:line="560" w:lineRule="exact"/>
        <w:ind w:firstLine="600" w:firstLineChars="200"/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</w:pPr>
    </w:p>
    <w:p w14:paraId="6AB892D2">
      <w:pPr>
        <w:adjustRightInd w:val="0"/>
        <w:snapToGrid w:val="0"/>
        <w:spacing w:line="560" w:lineRule="exact"/>
        <w:ind w:firstLine="600" w:firstLineChars="200"/>
        <w:rPr>
          <w:rFonts w:hint="default" w:ascii="Times New Roman" w:hAnsi="Times New Roman" w:eastAsia="黑体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</w:pPr>
      <w:r>
        <w:rPr>
          <w:rFonts w:hint="default" w:ascii="Times New Roman" w:hAnsi="Times New Roman" w:eastAsia="黑体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  <w:t>三、组织实施</w:t>
      </w:r>
    </w:p>
    <w:p w14:paraId="4ED26167">
      <w:pPr>
        <w:adjustRightInd w:val="0"/>
        <w:snapToGrid w:val="0"/>
        <w:spacing w:line="560" w:lineRule="exact"/>
        <w:ind w:firstLine="600" w:firstLineChars="200"/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  <w:t>本措施与省、市及吴中区其他政策有重复、交叉的，支持按照</w:t>
      </w:r>
      <w:r>
        <w:rPr>
          <w:rFonts w:hint="default" w:ascii="Times New Roman" w:hAnsi="Times New Roman" w:eastAsia="仿宋_GB2312" w:cs="Times New Roman"/>
          <w:snapToGrid w:val="0"/>
          <w:color w:val="auto"/>
          <w:spacing w:val="-10"/>
          <w:kern w:val="0"/>
          <w:sz w:val="32"/>
          <w:szCs w:val="32"/>
          <w:u w:val="none"/>
          <w:shd w:val="clear" w:color="auto" w:fill="FFFFFF"/>
        </w:rPr>
        <w:t>“</w:t>
      </w:r>
      <w:r>
        <w:rPr>
          <w:rFonts w:hint="default" w:ascii="Times New Roman" w:hAnsi="Times New Roman" w:eastAsia="仿宋_GB2312" w:cs="Times New Roman"/>
          <w:snapToGrid w:val="0"/>
          <w:color w:val="auto"/>
          <w:spacing w:val="-10"/>
          <w:kern w:val="0"/>
          <w:sz w:val="32"/>
          <w:szCs w:val="32"/>
          <w:highlight w:val="none"/>
          <w:u w:val="none"/>
          <w:shd w:val="clear" w:color="auto" w:fill="FFFFFF"/>
          <w:lang w:val="en-US" w:eastAsia="zh-CN"/>
        </w:rPr>
        <w:t>就</w:t>
      </w:r>
      <w:r>
        <w:rPr>
          <w:rFonts w:hint="default" w:ascii="Times New Roman" w:hAnsi="Times New Roman" w:eastAsia="仿宋_GB2312" w:cs="Times New Roman"/>
          <w:snapToGrid w:val="0"/>
          <w:color w:val="auto"/>
          <w:spacing w:val="-10"/>
          <w:kern w:val="0"/>
          <w:sz w:val="32"/>
          <w:szCs w:val="32"/>
          <w:highlight w:val="none"/>
          <w:u w:val="none"/>
          <w:shd w:val="clear" w:color="auto" w:fill="FFFFFF"/>
        </w:rPr>
        <w:t>高不重复</w:t>
      </w:r>
      <w:r>
        <w:rPr>
          <w:rFonts w:hint="default" w:ascii="Times New Roman" w:hAnsi="Times New Roman" w:eastAsia="仿宋_GB2312" w:cs="Times New Roman"/>
          <w:snapToGrid w:val="0"/>
          <w:color w:val="auto"/>
          <w:spacing w:val="-10"/>
          <w:kern w:val="0"/>
          <w:sz w:val="32"/>
          <w:szCs w:val="32"/>
          <w:u w:val="none"/>
          <w:shd w:val="clear" w:color="auto" w:fill="FFFFFF"/>
        </w:rPr>
        <w:t>”</w:t>
      </w: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  <w:t>原则执行，除上级补助资金和现行政策已明确资金渠道的以外，本政策所涉及资金按区、镇（区）财政体制分担</w:t>
      </w: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  <w:lang w:eastAsia="zh-CN"/>
        </w:rPr>
        <w:t>，</w:t>
      </w:r>
      <w:r>
        <w:rPr>
          <w:rFonts w:hint="default" w:ascii="Times New Roman" w:hAnsi="Times New Roman" w:eastAsia="仿宋_GB2312" w:cs="Times New Roman"/>
          <w:snapToGrid w:val="0"/>
          <w:color w:val="000000"/>
          <w:spacing w:val="-10"/>
          <w:kern w:val="0"/>
          <w:sz w:val="32"/>
          <w:szCs w:val="32"/>
          <w:u w:val="none"/>
          <w:shd w:val="clear" w:color="auto" w:fill="FFFFFF"/>
        </w:rPr>
        <w:t>区本级承担部分从人才开发资金列支。本措施自2025年X月X日起施行，有效期至X年X月X日”，效力不溯及既往，由区委宣传部会同有关部门负责解释并具体实施。</w:t>
      </w:r>
    </w:p>
    <w:p w14:paraId="58EB82B0">
      <w:pPr>
        <w:rPr>
          <w:rFonts w:hint="default" w:ascii="Times New Roman" w:hAnsi="Times New Roman" w:cs="Times New Roman"/>
          <w:u w:val="none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04CCFEC-0CD4-4102-AEEB-896834EB1B4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75EAA6E9-3D7E-437E-BE31-3163C14A914B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B6F8F432-C673-41B3-BDCB-0B5950D31965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7F146E0A-9E39-4FAA-ADE2-C40121A109F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7CBE2561-62AC-4AA1-A401-57E7C2094A14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2960B374-463D-47DC-9B42-344B33E9E23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C13DC1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8DDFA22"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8DDFA22"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C87F17"/>
    <w:rsid w:val="4CE629A2"/>
    <w:rsid w:val="57C87F17"/>
    <w:rsid w:val="6B367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1637</Words>
  <Characters>1680</Characters>
  <Lines>0</Lines>
  <Paragraphs>0</Paragraphs>
  <TotalTime>16</TotalTime>
  <ScaleCrop>false</ScaleCrop>
  <LinksUpToDate>false</LinksUpToDate>
  <CharactersWithSpaces>1691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2025-09-23T08:38:00Z</dcterms:created>
  <dc:creator>苹果</dc:creator>
  <cp:lastModifiedBy>苹果</cp:lastModifiedBy>
  <dcterms:modified xsi:type="dcterms:W3CDTF">2025-09-23T09:32:18Z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8BDF398C0E1141C18D981EEB77201B3A_11</vt:lpwstr>
  </property>
  <property fmtid="{D5CDD505-2E9C-101B-9397-08002B2CF9AE}" pid="4" name="KSOTemplateDocerSaveRecord">
    <vt:lpwstr>eyJoZGlkIjoiZDFiNGJkYTlkYzIzMDc2NGY4ZDM0NjVhYjM2ZGQxOTYiLCJ1c2VySWQiOiI3Mjg4NDMzIn0=</vt:lpwstr>
  </property>
</Properties>
</file>